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Аннотация рабочей программы 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>10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Биология </w:t>
      </w:r>
    </w:p>
    <w:tbl>
      <w:tblPr>
        <w:tblStyle w:val="3"/>
        <w:tblpPr w:leftFromText="180" w:rightFromText="180" w:bottomFromText="200" w:vertAnchor="text" w:horzAnchor="margin" w:tblpXSpec="center" w:tblpY="75"/>
        <w:tblW w:w="14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063"/>
        <w:gridCol w:w="1871"/>
        <w:gridCol w:w="1800"/>
        <w:gridCol w:w="1586"/>
        <w:gridCol w:w="2371"/>
        <w:gridCol w:w="1427"/>
        <w:gridCol w:w="14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Название предмета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Биология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Класс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10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Уровень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Базовый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Нормативно-методические материалы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Рабочая программа составлена на основе:</w:t>
            </w:r>
          </w:p>
          <w:p>
            <w:pPr>
              <w:pStyle w:val="10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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Федерального закона от 29.12.2012г. №273-ФЗ «Об образовании в РФ»;</w:t>
            </w:r>
          </w:p>
          <w:p>
            <w:pPr>
              <w:pStyle w:val="10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0"/>
            <w:r>
              <w:rPr>
                <w:sz w:val="28"/>
                <w:szCs w:val="28"/>
              </w:rPr>
              <w:t>на 2023-2024 учебный год.</w:t>
            </w:r>
          </w:p>
          <w:p>
            <w:pPr>
              <w:pStyle w:val="10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2022-2023 учебный год;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>
            <w:pPr>
              <w:pStyle w:val="10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рабочей программы воспитания АНОО «Дом знаний» на 2023-2024 учебный год.</w:t>
            </w:r>
          </w:p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  <w14:ligatures w14:val="standardContextual"/>
              </w:rPr>
              <w:t>на основе авторской программы по</w:t>
            </w:r>
            <w:r>
              <w:rPr>
                <w:rFonts w:hint="default" w:ascii="Times New Roman" w:hAnsi="Times New Roman" w:cs="Times New Roman"/>
                <w:kern w:val="28"/>
                <w:sz w:val="28"/>
                <w:szCs w:val="28"/>
                <w:shd w:val="clear" w:fill="FFFFFF" w:themeFill="background1"/>
                <w14:ligatures w14:val="standardContextual"/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  <w:lang w:val="ru-RU"/>
              </w:rPr>
              <w:t xml:space="preserve">биологии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</w:rPr>
              <w:t xml:space="preserve"> 10-й класс : базовый уровень : учебник / В. В. Пасечник, А. А. Каменский, А. М. Рубцов [и др.] ; под ред. В. В. Пасечника. — 5-е изд., стер. — Москва : Просвещение, 2023. — 223, [1] с. : ил. — (Линия жизни)</w:t>
            </w:r>
            <w:r>
              <w:rPr>
                <w:rStyle w:val="11"/>
                <w:rFonts w:hint="default" w:ascii="Times New Roman" w:hAnsi="Times New Roman" w:cs="Times New Roman"/>
                <w:color w:val="000000"/>
                <w:sz w:val="28"/>
                <w:szCs w:val="28"/>
                <w:shd w:val="clear" w:fill="FFFFFF" w:themeFill="background1"/>
              </w:rPr>
              <w:t>.</w:t>
            </w:r>
          </w:p>
          <w:p>
            <w:pPr>
              <w:pStyle w:val="5"/>
              <w:spacing w:before="60" w:line="276" w:lineRule="auto"/>
              <w:ind w:left="0"/>
              <w:rPr>
                <w:color w:val="000000" w:themeColor="text1"/>
                <w:kern w:val="2"/>
                <w:sz w:val="28"/>
                <w:szCs w:val="28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</w:pPr>
          </w:p>
          <w:p>
            <w:pPr>
              <w:overflowPunct w:val="0"/>
              <w:spacing w:after="0" w:line="240" w:lineRule="auto"/>
              <w:ind w:left="360" w:right="142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УМК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Биология</w:t>
            </w:r>
            <w:r>
              <w:rPr>
                <w:rFonts w:hint="default"/>
                <w:color w:val="000000"/>
                <w:sz w:val="28"/>
                <w:szCs w:val="28"/>
                <w:lang w:val="ru-RU"/>
              </w:rPr>
              <w:t xml:space="preserve">. Поурочные разработки. 10-11 класс: учеб. пособие для общеобразовательной организации : базовый уровень / В.В. Пасечник, Г. Г. шведов, Т.М. Ефимова; под ред. В.В. Пасечника. _ М.: Просвещение, 2017.-230 с. -( Линия жизни). </w:t>
            </w:r>
          </w:p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default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  <w:lang w:val="ru-RU"/>
              </w:rPr>
              <w:t>1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</w:rPr>
              <w:t>0-й класс : базовый уровень : учебник / В. В. Пасечник, А. А. Каменский, А. М. Рубцов [и др.] ; под ред. В. В. Пасечника. — 5-е изд., стер. — Москва : Просвещение, 2023. — 223, [1] с. : ил. — (Линия жизни)</w:t>
            </w:r>
            <w:r>
              <w:rPr>
                <w:rStyle w:val="11"/>
                <w:rFonts w:hint="default" w:ascii="Times New Roman" w:hAnsi="Times New Roman" w:cs="Times New Roman"/>
                <w:color w:val="000000"/>
                <w:sz w:val="28"/>
                <w:szCs w:val="28"/>
                <w:shd w:val="clear" w:fill="FFFFFF" w:themeFill="background1"/>
              </w:rPr>
              <w:t>.</w:t>
            </w:r>
          </w:p>
          <w:p>
            <w:pPr>
              <w:pStyle w:val="12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default"/>
                <w:color w:val="000000"/>
                <w:sz w:val="28"/>
                <w:szCs w:val="28"/>
              </w:rPr>
              <w:t>Биология. Рабочие программы. Предметная линия «Линия жизни». 10—11 классы : учеб. пособие для общеобразоват. организаций : базовый уровень / В. В. Пасечник, Г. Г. Швецов, Т. М. Ефимова. — М. : Просвещение, 2018. — 64 с.</w:t>
            </w:r>
          </w:p>
          <w:p>
            <w:pPr>
              <w:shd w:val="clear" w:color="auto" w:fill="FFFFFF"/>
              <w:spacing w:after="150" w:line="240" w:lineRule="auto"/>
              <w:ind w:left="720"/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Цели и задачи предмета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Цели обучения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Биологии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социализация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приобщение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к познавательной культуре как системе познавательных (научных) ценностей, накопленных обществом в сфере биологической науки.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Помимо этого, биологическое образование на старшей ступени призвано обеспечить: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ориентацию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в системе этических норм и ценностей относительно методов, результатов и достижений современной биологической науки;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развитие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овладение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―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формирование 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экологического сознания, ценностного отношения к живой природе и человеку.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 Изучение курса «Биология» в старшей школе направленно на решение следующих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задач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: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1) формирование системы биологических знаний как компонента естественно-научной картины мира; 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111115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3) выработку понимания общественной потребности в развитии биологии, а также формирование отношения к биологии как возможной области будущей практической деятельности. 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Место курса в учебном плане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Учебный план на изучение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в _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10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_ классе отводит _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_часа в неделю, всего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68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часа в год.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Структура курса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3"/>
              <w:tblW w:w="12228" w:type="dxa"/>
              <w:tblInd w:w="0" w:type="dxa"/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27"/>
              <w:gridCol w:w="4301"/>
            </w:tblGrid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Calibri" w:hAnsi="Calibri" w:eastAsia="Times New Roman" w:cs="Calibri"/>
                      <w:color w:val="00000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 курса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Calibri" w:hAnsi="Calibri" w:eastAsia="Times New Roman" w:cs="Calibri"/>
                      <w:color w:val="00000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8"/>
                      <w:szCs w:val="28"/>
                      <w:lang w:val="ru-RU"/>
                    </w:rPr>
                    <w:t xml:space="preserve">Введение 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8"/>
                      <w:szCs w:val="28"/>
                      <w:lang w:val="ru-RU"/>
                    </w:rPr>
                    <w:t>7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Молекулярный уровень 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8"/>
                      <w:szCs w:val="28"/>
                      <w:lang w:val="ru-RU"/>
                    </w:rPr>
                    <w:t>27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Клеточный уровень 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  <w:t>34</w:t>
                  </w:r>
                </w:p>
              </w:tc>
            </w:tr>
          </w:tbl>
          <w:p>
            <w:pPr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Формы, методы, технологии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Формы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фронтальный опрос, индивидуальная работа, работа в группах и т.д.;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Методы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словесный, объяснительно-иллюстративный, наглядный, исследовательский, частично поисковый и т.д.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Технологии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Контроль прохождения программного материала</w:t>
            </w: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Полугодие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недель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часов в неделю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Кол-во часов в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за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полугодие 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контр.</w:t>
            </w:r>
          </w:p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 (самостоятельных работ)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практи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.</w:t>
            </w:r>
          </w:p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Лабораторные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17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34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17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3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4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0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2546" w:type="dxa"/>
          <w:trHeight w:val="312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2546" w:type="dxa"/>
          <w:trHeight w:val="312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Год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34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68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68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6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Формы контроля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Тестовые, контрольные, самостоятельные, проектные,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зачётные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Составители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>
            <w:pPr>
              <w:tabs>
                <w:tab w:val="center" w:pos="4677"/>
                <w:tab w:val="right" w:pos="9355"/>
              </w:tabs>
              <w:spacing w:after="0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Макашарипова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Муъминат Рамазановна. 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422414"/>
    <w:multiLevelType w:val="multilevel"/>
    <w:tmpl w:val="0E42241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5337C95"/>
    <w:multiLevelType w:val="multilevel"/>
    <w:tmpl w:val="15337C95"/>
    <w:lvl w:ilvl="0" w:tentative="0">
      <w:start w:val="0"/>
      <w:numFmt w:val="decimal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0"/>
      <w:numFmt w:val="decimal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EE4"/>
    <w:rsid w:val="001D1EE4"/>
    <w:rsid w:val="00775671"/>
    <w:rsid w:val="00DB40E8"/>
    <w:rsid w:val="00DE3413"/>
    <w:rsid w:val="00DE53A0"/>
    <w:rsid w:val="00E63CC0"/>
    <w:rsid w:val="542F6BD8"/>
    <w:rsid w:val="600914B1"/>
    <w:rsid w:val="63612674"/>
    <w:rsid w:val="6CF5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ru-RU" w:eastAsia="ru-RU" w:bidi="ar-SA"/>
      <w14:ligatures w14:val="none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ody Text"/>
    <w:basedOn w:val="1"/>
    <w:link w:val="7"/>
    <w:semiHidden/>
    <w:unhideWhenUsed/>
    <w:qFormat/>
    <w:uiPriority w:val="1"/>
    <w:pPr>
      <w:widowControl w:val="0"/>
      <w:autoSpaceDE w:val="0"/>
      <w:autoSpaceDN w:val="0"/>
      <w:spacing w:after="0" w:line="240" w:lineRule="auto"/>
      <w:ind w:left="106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7">
    <w:name w:val="Основной текст Знак"/>
    <w:basedOn w:val="2"/>
    <w:link w:val="5"/>
    <w:semiHidden/>
    <w:qFormat/>
    <w:uiPriority w:val="1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character" w:customStyle="1" w:styleId="8">
    <w:name w:val="Без интервала Знак"/>
    <w:link w:val="9"/>
    <w:qFormat/>
    <w:locked/>
    <w:uiPriority w:val="1"/>
    <w:rPr>
      <w:rFonts w:ascii="Times New Roman" w:hAnsi="Times New Roman" w:eastAsia="Calibri" w:cs="Times New Roman"/>
      <w:sz w:val="24"/>
    </w:rPr>
  </w:style>
  <w:style w:type="paragraph" w:styleId="9">
    <w:name w:val="No Spacing"/>
    <w:link w:val="8"/>
    <w:qFormat/>
    <w:uiPriority w:val="1"/>
    <w:pPr>
      <w:spacing w:after="120" w:line="240" w:lineRule="auto"/>
      <w:ind w:firstLine="567"/>
      <w:jc w:val="both"/>
    </w:pPr>
    <w:rPr>
      <w:rFonts w:ascii="Times New Roman" w:hAnsi="Times New Roman" w:eastAsia="Calibri" w:cs="Times New Roman"/>
      <w:kern w:val="2"/>
      <w:sz w:val="24"/>
      <w:szCs w:val="22"/>
      <w:lang w:val="ru-RU" w:eastAsia="en-US" w:bidi="ar-SA"/>
      <w14:ligatures w14:val="standardContextual"/>
    </w:rPr>
  </w:style>
  <w:style w:type="paragraph" w:styleId="10">
    <w:name w:val="List Paragraph"/>
    <w:basedOn w:val="1"/>
    <w:qFormat/>
    <w:uiPriority w:val="1"/>
    <w:pPr>
      <w:spacing w:after="0" w:line="240" w:lineRule="auto"/>
      <w:ind w:left="720"/>
      <w:contextualSpacing/>
      <w:jc w:val="both"/>
    </w:pPr>
    <w:rPr>
      <w:rFonts w:ascii="Times New Roman" w:hAnsi="Times New Roman" w:eastAsia="Calibri" w:cs="Times New Roman"/>
      <w:sz w:val="24"/>
      <w:lang w:eastAsia="en-US"/>
    </w:rPr>
  </w:style>
  <w:style w:type="character" w:customStyle="1" w:styleId="11">
    <w:name w:val="c5"/>
    <w:qFormat/>
    <w:uiPriority w:val="0"/>
  </w:style>
  <w:style w:type="paragraph" w:customStyle="1" w:styleId="12">
    <w:name w:val="c8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3">
    <w:name w:val="c9"/>
    <w:qFormat/>
    <w:uiPriority w:val="0"/>
  </w:style>
  <w:style w:type="paragraph" w:customStyle="1" w:styleId="14">
    <w:name w:val="c6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c3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6">
    <w:name w:val="c7"/>
    <w:qFormat/>
    <w:uiPriority w:val="0"/>
  </w:style>
  <w:style w:type="paragraph" w:customStyle="1" w:styleId="17">
    <w:name w:val="c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8">
    <w:name w:val="c17"/>
    <w:qFormat/>
    <w:uiPriority w:val="0"/>
  </w:style>
  <w:style w:type="paragraph" w:customStyle="1" w:styleId="19">
    <w:name w:val="c10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0">
    <w:name w:val="c22"/>
    <w:basedOn w:val="2"/>
    <w:qFormat/>
    <w:uiPriority w:val="0"/>
  </w:style>
  <w:style w:type="character" w:customStyle="1" w:styleId="21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2">
    <w:name w:val="c6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901</Words>
  <Characters>5140</Characters>
  <Lines>42</Lines>
  <Paragraphs>12</Paragraphs>
  <TotalTime>6</TotalTime>
  <ScaleCrop>false</ScaleCrop>
  <LinksUpToDate>false</LinksUpToDate>
  <CharactersWithSpaces>6029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2023-08-01T14:55:00Z</dcterms:created>
  <dc:creator>miracle1989_1989@mail.ru</dc:creator>
  <cp:lastModifiedBy>Муъминат Макаша�</cp:lastModifiedBy>
  <dcterms:modified xsi:type="dcterms:W3CDTF">2023-08-09T08:06:03Z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EC04E6F063964722BD23B32EEC776E64</vt:lpwstr>
  </property>
</Properties>
</file>